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IBM Plex Sans" w:cs="IBM Plex Sans" w:eastAsia="IBM Plex Sans" w:hAnsi="IBM Plex Sans"/>
          <w:sz w:val="36"/>
          <w:szCs w:val="36"/>
          <w:shd w:fill="a4c2f4" w:val="clear"/>
        </w:rPr>
      </w:pPr>
      <w:r w:rsidDel="00000000" w:rsidR="00000000" w:rsidRPr="00000000">
        <w:rPr>
          <w:rFonts w:ascii="IBM Plex Sans" w:cs="IBM Plex Sans" w:eastAsia="IBM Plex Sans" w:hAnsi="IBM Plex Sans"/>
          <w:b w:val="1"/>
          <w:color w:val="ffffff"/>
          <w:sz w:val="36"/>
          <w:szCs w:val="36"/>
          <w:highlight w:val="black"/>
          <w:rtl w:val="0"/>
        </w:rPr>
        <w:t xml:space="preserve">UNCDF Activity Boost</w:t>
      </w:r>
      <w:r w:rsidDel="00000000" w:rsidR="00000000" w:rsidRPr="00000000">
        <w:rPr>
          <w:rtl w:val="0"/>
        </w:rPr>
      </w:r>
    </w:p>
    <w:p w:rsidR="00000000" w:rsidDel="00000000" w:rsidP="00000000" w:rsidRDefault="00000000" w:rsidRPr="00000000" w14:paraId="00000002">
      <w:pPr>
        <w:rPr>
          <w:rFonts w:ascii="IBM Plex Sans" w:cs="IBM Plex Sans" w:eastAsia="IBM Plex Sans" w:hAnsi="IBM Plex Sans"/>
          <w:sz w:val="16"/>
          <w:szCs w:val="16"/>
          <w:highlight w:val="white"/>
        </w:rPr>
      </w:pPr>
      <w:r w:rsidDel="00000000" w:rsidR="00000000" w:rsidRPr="00000000">
        <w:rPr>
          <w:rFonts w:ascii="IBM Plex Sans" w:cs="IBM Plex Sans" w:eastAsia="IBM Plex Sans" w:hAnsi="IBM Plex Sans"/>
          <w:sz w:val="16"/>
          <w:szCs w:val="16"/>
          <w:highlight w:val="white"/>
          <w:rtl w:val="0"/>
        </w:rPr>
        <w:t xml:space="preserve">A day-long session of reflecting on a regional UNCDF team's activity and how new approaches can be identified and planned around.</w:t>
      </w:r>
    </w:p>
    <w:p w:rsidR="00000000" w:rsidDel="00000000" w:rsidP="00000000" w:rsidRDefault="00000000" w:rsidRPr="00000000" w14:paraId="00000003">
      <w:pPr>
        <w:rPr>
          <w:rFonts w:ascii="IBM Plex Sans" w:cs="IBM Plex Sans" w:eastAsia="IBM Plex Sans" w:hAnsi="IBM Plex Sans"/>
          <w:sz w:val="16"/>
          <w:szCs w:val="16"/>
          <w:highlight w:val="white"/>
        </w:rPr>
      </w:pPr>
      <w:r w:rsidDel="00000000" w:rsidR="00000000" w:rsidRPr="00000000">
        <w:rPr>
          <w:rtl w:val="0"/>
        </w:rPr>
      </w:r>
    </w:p>
    <w:tbl>
      <w:tblPr>
        <w:tblStyle w:val="Table1"/>
        <w:tblW w:w="124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7605"/>
        <w:gridCol w:w="3435"/>
        <w:tblGridChange w:id="0">
          <w:tblGrid>
            <w:gridCol w:w="1380"/>
            <w:gridCol w:w="7605"/>
            <w:gridCol w:w="3435"/>
          </w:tblGrid>
        </w:tblGridChange>
      </w:tblGrid>
      <w:tr>
        <w:tc>
          <w:tcPr>
            <w:gridSpan w:val="2"/>
            <w:shd w:fill="3c78d8"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76" w:lineRule="auto"/>
              <w:rPr>
                <w:rFonts w:ascii="IBM Plex Sans" w:cs="IBM Plex Sans" w:eastAsia="IBM Plex Sans" w:hAnsi="IBM Plex Sans"/>
                <w:b w:val="1"/>
                <w:color w:val="ffffff"/>
                <w:sz w:val="18"/>
                <w:szCs w:val="18"/>
              </w:rPr>
            </w:pPr>
            <w:r w:rsidDel="00000000" w:rsidR="00000000" w:rsidRPr="00000000">
              <w:rPr>
                <w:rFonts w:ascii="IBM Plex Sans" w:cs="IBM Plex Sans" w:eastAsia="IBM Plex Sans" w:hAnsi="IBM Plex Sans"/>
                <w:b w:val="1"/>
                <w:color w:val="ffffff"/>
                <w:sz w:val="18"/>
                <w:szCs w:val="18"/>
                <w:rtl w:val="0"/>
              </w:rPr>
              <w:t xml:space="preserve">Agenda for the day</w:t>
            </w:r>
          </w:p>
        </w:tc>
        <w:tc>
          <w:tcPr>
            <w:shd w:fill="3c78d8"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76" w:lineRule="auto"/>
              <w:rPr>
                <w:rFonts w:ascii="IBM Plex Sans" w:cs="IBM Plex Sans" w:eastAsia="IBM Plex Sans" w:hAnsi="IBM Plex Sans"/>
                <w:b w:val="1"/>
                <w:color w:val="ffffff"/>
                <w:sz w:val="18"/>
                <w:szCs w:val="18"/>
              </w:rPr>
            </w:pPr>
            <w:r w:rsidDel="00000000" w:rsidR="00000000" w:rsidRPr="00000000">
              <w:rPr>
                <w:rFonts w:ascii="IBM Plex Sans" w:cs="IBM Plex Sans" w:eastAsia="IBM Plex Sans" w:hAnsi="IBM Plex Sans"/>
                <w:b w:val="1"/>
                <w:color w:val="ffffff"/>
                <w:sz w:val="18"/>
                <w:szCs w:val="18"/>
                <w:rtl w:val="0"/>
              </w:rPr>
              <w:t xml:space="preserve">Toolkit assets available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76" w:lineRule="auto"/>
              <w:rPr>
                <w:rFonts w:ascii="IBM Plex Sans" w:cs="IBM Plex Sans" w:eastAsia="IBM Plex Sans" w:hAnsi="IBM Plex Sans"/>
                <w:b w:val="1"/>
                <w:sz w:val="18"/>
                <w:szCs w:val="18"/>
                <w:highlight w:val="white"/>
              </w:rPr>
            </w:pPr>
            <w:r w:rsidDel="00000000" w:rsidR="00000000" w:rsidRPr="00000000">
              <w:rPr>
                <w:rFonts w:ascii="IBM Plex Sans" w:cs="IBM Plex Sans" w:eastAsia="IBM Plex Sans" w:hAnsi="IBM Plex Sans"/>
                <w:b w:val="1"/>
                <w:sz w:val="18"/>
                <w:szCs w:val="18"/>
                <w:highlight w:val="white"/>
                <w:rtl w:val="0"/>
              </w:rPr>
              <w:t xml:space="preserve">09:00 - 09:20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76" w:lineRule="auto"/>
              <w:rPr>
                <w:rFonts w:ascii="IBM Plex Sans" w:cs="IBM Plex Sans" w:eastAsia="IBM Plex Sans" w:hAnsi="IBM Plex Sans"/>
                <w:b w:val="1"/>
                <w:sz w:val="18"/>
                <w:szCs w:val="18"/>
                <w:highlight w:val="white"/>
              </w:rPr>
            </w:pPr>
            <w:r w:rsidDel="00000000" w:rsidR="00000000" w:rsidRPr="00000000">
              <w:rPr>
                <w:rFonts w:ascii="IBM Plex Sans" w:cs="IBM Plex Sans" w:eastAsia="IBM Plex Sans" w:hAnsi="IBM Plex Sans"/>
                <w:b w:val="1"/>
                <w:sz w:val="18"/>
                <w:szCs w:val="18"/>
                <w:highlight w:val="white"/>
                <w:rtl w:val="0"/>
              </w:rPr>
              <w:t xml:space="preserve">Introduce the session</w:t>
            </w:r>
          </w:p>
          <w:p w:rsidR="00000000" w:rsidDel="00000000" w:rsidP="00000000" w:rsidRDefault="00000000" w:rsidRPr="00000000" w14:paraId="00000009">
            <w:pPr>
              <w:spacing w:line="276" w:lineRule="auto"/>
              <w:rPr>
                <w:rFonts w:ascii="IBM Plex Sans" w:cs="IBM Plex Sans" w:eastAsia="IBM Plex Sans" w:hAnsi="IBM Plex Sans"/>
                <w:sz w:val="18"/>
                <w:szCs w:val="18"/>
                <w:highlight w:val="white"/>
              </w:rPr>
            </w:pPr>
            <w:r w:rsidDel="00000000" w:rsidR="00000000" w:rsidRPr="00000000">
              <w:rPr>
                <w:rFonts w:ascii="IBM Plex Sans" w:cs="IBM Plex Sans" w:eastAsia="IBM Plex Sans" w:hAnsi="IBM Plex Sans"/>
                <w:sz w:val="18"/>
                <w:szCs w:val="18"/>
                <w:highlight w:val="white"/>
                <w:rtl w:val="0"/>
              </w:rPr>
              <w:t xml:space="preserve">Make sure everyone clearly understands the purpose and outcomes for the day-long discussion, this can be done by the organiser or a few different guests. A fun way to share expectations can also be  in the form of a Speed Dating exercise where participants have a minute or so to both share their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76" w:lineRule="auto"/>
              <w:rPr>
                <w:rFonts w:ascii="IBM Plex Sans" w:cs="IBM Plex Sans" w:eastAsia="IBM Plex Sans" w:hAnsi="IBM Plex Sans"/>
                <w:sz w:val="18"/>
                <w:szCs w:val="18"/>
                <w:highlight w:val="white"/>
              </w:rPr>
            </w:pPr>
            <w:r w:rsidDel="00000000" w:rsidR="00000000" w:rsidRPr="00000000">
              <w:rPr>
                <w:rFonts w:ascii="IBM Plex Sans" w:cs="IBM Plex Sans" w:eastAsia="IBM Plex Sans" w:hAnsi="IBM Plex Sans"/>
                <w:sz w:val="18"/>
                <w:szCs w:val="18"/>
                <w:highlight w:val="white"/>
                <w:rtl w:val="0"/>
              </w:rPr>
              <w:t xml:space="preserve">Speed Dating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76" w:lineRule="auto"/>
              <w:rPr>
                <w:rFonts w:ascii="IBM Plex Sans" w:cs="IBM Plex Sans" w:eastAsia="IBM Plex Sans" w:hAnsi="IBM Plex Sans"/>
                <w:b w:val="1"/>
                <w:sz w:val="18"/>
                <w:szCs w:val="18"/>
                <w:highlight w:val="white"/>
              </w:rPr>
            </w:pPr>
            <w:r w:rsidDel="00000000" w:rsidR="00000000" w:rsidRPr="00000000">
              <w:rPr>
                <w:rFonts w:ascii="IBM Plex Sans" w:cs="IBM Plex Sans" w:eastAsia="IBM Plex Sans" w:hAnsi="IBM Plex Sans"/>
                <w:b w:val="1"/>
                <w:sz w:val="18"/>
                <w:szCs w:val="18"/>
                <w:highlight w:val="white"/>
                <w:rtl w:val="0"/>
              </w:rPr>
              <w:t xml:space="preserve">09:20 - 10:00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rPr>
                <w:rFonts w:ascii="IBM Plex Sans" w:cs="IBM Plex Sans" w:eastAsia="IBM Plex Sans" w:hAnsi="IBM Plex Sans"/>
                <w:b w:val="1"/>
                <w:sz w:val="18"/>
                <w:szCs w:val="18"/>
                <w:highlight w:val="white"/>
              </w:rPr>
            </w:pPr>
            <w:r w:rsidDel="00000000" w:rsidR="00000000" w:rsidRPr="00000000">
              <w:rPr>
                <w:rFonts w:ascii="IBM Plex Sans" w:cs="IBM Plex Sans" w:eastAsia="IBM Plex Sans" w:hAnsi="IBM Plex Sans"/>
                <w:b w:val="1"/>
                <w:sz w:val="18"/>
                <w:szCs w:val="18"/>
                <w:highlight w:val="white"/>
                <w:rtl w:val="0"/>
              </w:rPr>
              <w:t xml:space="preserve">Map the Ecosystem</w:t>
            </w:r>
          </w:p>
          <w:p w:rsidR="00000000" w:rsidDel="00000000" w:rsidP="00000000" w:rsidRDefault="00000000" w:rsidRPr="00000000" w14:paraId="0000000D">
            <w:pPr>
              <w:spacing w:line="276" w:lineRule="auto"/>
              <w:rPr>
                <w:rFonts w:ascii="IBM Plex Sans" w:cs="IBM Plex Sans" w:eastAsia="IBM Plex Sans" w:hAnsi="IBM Plex Sans"/>
                <w:sz w:val="18"/>
                <w:szCs w:val="18"/>
                <w:highlight w:val="white"/>
              </w:rPr>
            </w:pPr>
            <w:r w:rsidDel="00000000" w:rsidR="00000000" w:rsidRPr="00000000">
              <w:rPr>
                <w:rFonts w:ascii="IBM Plex Sans" w:cs="IBM Plex Sans" w:eastAsia="IBM Plex Sans" w:hAnsi="IBM Plex Sans"/>
                <w:sz w:val="18"/>
                <w:szCs w:val="18"/>
                <w:highlight w:val="white"/>
                <w:rtl w:val="0"/>
              </w:rPr>
              <w:t xml:space="preserve">The workshop should start with mapping the team’s understanding of the local financial inclusion ecosystem, who they work with, who they don’t, what are the different actors shaping the space. Once the ecosystem is mapped, have the team discuss which parts of the diagram may represent opportunities for new programmes or adaptations of existing programmes.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rPr>
                <w:rFonts w:ascii="IBM Plex Sans" w:cs="IBM Plex Sans" w:eastAsia="IBM Plex Sans" w:hAnsi="IBM Plex Sans"/>
                <w:sz w:val="18"/>
                <w:szCs w:val="18"/>
                <w:highlight w:val="white"/>
              </w:rPr>
            </w:pPr>
            <w:r w:rsidDel="00000000" w:rsidR="00000000" w:rsidRPr="00000000">
              <w:rPr>
                <w:rFonts w:ascii="IBM Plex Sans" w:cs="IBM Plex Sans" w:eastAsia="IBM Plex Sans" w:hAnsi="IBM Plex Sans"/>
                <w:sz w:val="18"/>
                <w:szCs w:val="18"/>
                <w:highlight w:val="white"/>
                <w:rtl w:val="0"/>
              </w:rPr>
              <w:t xml:space="preserve">ERAF Diagram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76" w:lineRule="auto"/>
              <w:rPr>
                <w:rFonts w:ascii="IBM Plex Sans" w:cs="IBM Plex Sans" w:eastAsia="IBM Plex Sans" w:hAnsi="IBM Plex Sans"/>
                <w:b w:val="1"/>
                <w:sz w:val="18"/>
                <w:szCs w:val="18"/>
                <w:highlight w:val="white"/>
              </w:rPr>
            </w:pPr>
            <w:r w:rsidDel="00000000" w:rsidR="00000000" w:rsidRPr="00000000">
              <w:rPr>
                <w:rFonts w:ascii="IBM Plex Sans" w:cs="IBM Plex Sans" w:eastAsia="IBM Plex Sans" w:hAnsi="IBM Plex Sans"/>
                <w:b w:val="1"/>
                <w:sz w:val="18"/>
                <w:szCs w:val="18"/>
                <w:highlight w:val="white"/>
                <w:rtl w:val="0"/>
              </w:rPr>
              <w:t xml:space="preserve">10:00 - 11:00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76" w:lineRule="auto"/>
              <w:rPr>
                <w:rFonts w:ascii="IBM Plex Sans" w:cs="IBM Plex Sans" w:eastAsia="IBM Plex Sans" w:hAnsi="IBM Plex Sans"/>
                <w:b w:val="1"/>
                <w:sz w:val="18"/>
                <w:szCs w:val="18"/>
                <w:highlight w:val="white"/>
              </w:rPr>
            </w:pPr>
            <w:r w:rsidDel="00000000" w:rsidR="00000000" w:rsidRPr="00000000">
              <w:rPr>
                <w:rFonts w:ascii="IBM Plex Sans" w:cs="IBM Plex Sans" w:eastAsia="IBM Plex Sans" w:hAnsi="IBM Plex Sans"/>
                <w:b w:val="1"/>
                <w:sz w:val="18"/>
                <w:szCs w:val="18"/>
                <w:highlight w:val="white"/>
                <w:rtl w:val="0"/>
              </w:rPr>
              <w:t xml:space="preserve">Look Ahead</w:t>
            </w:r>
          </w:p>
          <w:p w:rsidR="00000000" w:rsidDel="00000000" w:rsidP="00000000" w:rsidRDefault="00000000" w:rsidRPr="00000000" w14:paraId="00000011">
            <w:pPr>
              <w:spacing w:line="276" w:lineRule="auto"/>
              <w:rPr>
                <w:rFonts w:ascii="IBM Plex Sans" w:cs="IBM Plex Sans" w:eastAsia="IBM Plex Sans" w:hAnsi="IBM Plex Sans"/>
                <w:sz w:val="18"/>
                <w:szCs w:val="18"/>
                <w:highlight w:val="white"/>
              </w:rPr>
            </w:pPr>
            <w:r w:rsidDel="00000000" w:rsidR="00000000" w:rsidRPr="00000000">
              <w:rPr>
                <w:rFonts w:ascii="IBM Plex Sans" w:cs="IBM Plex Sans" w:eastAsia="IBM Plex Sans" w:hAnsi="IBM Plex Sans"/>
                <w:sz w:val="18"/>
                <w:szCs w:val="18"/>
                <w:highlight w:val="white"/>
                <w:rtl w:val="0"/>
              </w:rPr>
              <w:t xml:space="preserve">After the previous phase is complete, break up the group into working pairs and have them complete a Theory of Change diagram, this will help the teams align on how the programmes and efforts can lead to the intended impact.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76" w:lineRule="auto"/>
              <w:rPr>
                <w:rFonts w:ascii="IBM Plex Sans" w:cs="IBM Plex Sans" w:eastAsia="IBM Plex Sans" w:hAnsi="IBM Plex Sans"/>
                <w:sz w:val="18"/>
                <w:szCs w:val="18"/>
                <w:highlight w:val="white"/>
              </w:rPr>
            </w:pPr>
            <w:r w:rsidDel="00000000" w:rsidR="00000000" w:rsidRPr="00000000">
              <w:rPr>
                <w:rFonts w:ascii="IBM Plex Sans" w:cs="IBM Plex Sans" w:eastAsia="IBM Plex Sans" w:hAnsi="IBM Plex Sans"/>
                <w:sz w:val="18"/>
                <w:szCs w:val="18"/>
                <w:highlight w:val="white"/>
                <w:rtl w:val="0"/>
              </w:rPr>
              <w:t xml:space="preserve">Theory of Change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76" w:lineRule="auto"/>
              <w:rPr>
                <w:rFonts w:ascii="IBM Plex Sans" w:cs="IBM Plex Sans" w:eastAsia="IBM Plex Sans" w:hAnsi="IBM Plex Sans"/>
                <w:b w:val="1"/>
                <w:sz w:val="18"/>
                <w:szCs w:val="18"/>
                <w:highlight w:val="white"/>
              </w:rPr>
            </w:pPr>
            <w:r w:rsidDel="00000000" w:rsidR="00000000" w:rsidRPr="00000000">
              <w:rPr>
                <w:rFonts w:ascii="IBM Plex Sans" w:cs="IBM Plex Sans" w:eastAsia="IBM Plex Sans" w:hAnsi="IBM Plex Sans"/>
                <w:b w:val="1"/>
                <w:sz w:val="18"/>
                <w:szCs w:val="18"/>
                <w:highlight w:val="white"/>
                <w:rtl w:val="0"/>
              </w:rPr>
              <w:t xml:space="preserve">11:00 - 12:30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76" w:lineRule="auto"/>
              <w:rPr>
                <w:rFonts w:ascii="IBM Plex Sans" w:cs="IBM Plex Sans" w:eastAsia="IBM Plex Sans" w:hAnsi="IBM Plex Sans"/>
                <w:b w:val="1"/>
                <w:sz w:val="18"/>
                <w:szCs w:val="18"/>
                <w:highlight w:val="white"/>
              </w:rPr>
            </w:pPr>
            <w:r w:rsidDel="00000000" w:rsidR="00000000" w:rsidRPr="00000000">
              <w:rPr>
                <w:rFonts w:ascii="IBM Plex Sans" w:cs="IBM Plex Sans" w:eastAsia="IBM Plex Sans" w:hAnsi="IBM Plex Sans"/>
                <w:b w:val="1"/>
                <w:sz w:val="18"/>
                <w:szCs w:val="18"/>
                <w:highlight w:val="white"/>
                <w:rtl w:val="0"/>
              </w:rPr>
              <w:t xml:space="preserve">Clarify the Intent</w:t>
            </w:r>
          </w:p>
          <w:p w:rsidR="00000000" w:rsidDel="00000000" w:rsidP="00000000" w:rsidRDefault="00000000" w:rsidRPr="00000000" w14:paraId="00000015">
            <w:pPr>
              <w:spacing w:line="276" w:lineRule="auto"/>
              <w:rPr>
                <w:rFonts w:ascii="IBM Plex Sans" w:cs="IBM Plex Sans" w:eastAsia="IBM Plex Sans" w:hAnsi="IBM Plex Sans"/>
                <w:sz w:val="18"/>
                <w:szCs w:val="18"/>
                <w:highlight w:val="white"/>
              </w:rPr>
            </w:pPr>
            <w:r w:rsidDel="00000000" w:rsidR="00000000" w:rsidRPr="00000000">
              <w:rPr>
                <w:rFonts w:ascii="IBM Plex Sans" w:cs="IBM Plex Sans" w:eastAsia="IBM Plex Sans" w:hAnsi="IBM Plex Sans"/>
                <w:sz w:val="18"/>
                <w:szCs w:val="18"/>
                <w:highlight w:val="white"/>
                <w:rtl w:val="0"/>
              </w:rPr>
              <w:t xml:space="preserve">The pairs should take time to share their Theory of Change worksheets and use them as starting points for discussions on what impact UNCDF should have of their ecosystem and what activities should be prioritised. This can be done by creating a new, shared Theory of Change in plenary or by calling out Design Principles of what new programs should or shouldn’t 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76" w:lineRule="auto"/>
              <w:rPr>
                <w:rFonts w:ascii="IBM Plex Sans" w:cs="IBM Plex Sans" w:eastAsia="IBM Plex Sans" w:hAnsi="IBM Plex Sans"/>
                <w:sz w:val="18"/>
                <w:szCs w:val="18"/>
                <w:highlight w:val="white"/>
              </w:rPr>
            </w:pPr>
            <w:r w:rsidDel="00000000" w:rsidR="00000000" w:rsidRPr="00000000">
              <w:rPr>
                <w:rFonts w:ascii="IBM Plex Sans" w:cs="IBM Plex Sans" w:eastAsia="IBM Plex Sans" w:hAnsi="IBM Plex Sans"/>
                <w:sz w:val="18"/>
                <w:szCs w:val="18"/>
                <w:highlight w:val="white"/>
                <w:rtl w:val="0"/>
              </w:rPr>
              <w:t xml:space="preserve">Design Principles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76" w:lineRule="auto"/>
              <w:rPr>
                <w:rFonts w:ascii="IBM Plex Sans" w:cs="IBM Plex Sans" w:eastAsia="IBM Plex Sans" w:hAnsi="IBM Plex Sans"/>
                <w:b w:val="1"/>
                <w:sz w:val="18"/>
                <w:szCs w:val="18"/>
                <w:highlight w:val="white"/>
              </w:rPr>
            </w:pPr>
            <w:r w:rsidDel="00000000" w:rsidR="00000000" w:rsidRPr="00000000">
              <w:rPr>
                <w:rFonts w:ascii="IBM Plex Sans" w:cs="IBM Plex Sans" w:eastAsia="IBM Plex Sans" w:hAnsi="IBM Plex Sans"/>
                <w:b w:val="1"/>
                <w:sz w:val="18"/>
                <w:szCs w:val="18"/>
                <w:highlight w:val="white"/>
                <w:rtl w:val="0"/>
              </w:rPr>
              <w:t xml:space="preserve">12:30-13:30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rPr>
                <w:rFonts w:ascii="IBM Plex Sans" w:cs="IBM Plex Sans" w:eastAsia="IBM Plex Sans" w:hAnsi="IBM Plex Sans"/>
                <w:b w:val="1"/>
                <w:sz w:val="18"/>
                <w:szCs w:val="18"/>
                <w:highlight w:val="white"/>
              </w:rPr>
            </w:pPr>
            <w:r w:rsidDel="00000000" w:rsidR="00000000" w:rsidRPr="00000000">
              <w:rPr>
                <w:rFonts w:ascii="IBM Plex Sans" w:cs="IBM Plex Sans" w:eastAsia="IBM Plex Sans" w:hAnsi="IBM Plex Sans"/>
                <w:b w:val="1"/>
                <w:sz w:val="18"/>
                <w:szCs w:val="18"/>
                <w:highlight w:val="white"/>
                <w:rtl w:val="0"/>
              </w:rPr>
              <w:t xml:space="preserve">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76" w:lineRule="auto"/>
              <w:rPr>
                <w:rFonts w:ascii="IBM Plex Sans" w:cs="IBM Plex Sans" w:eastAsia="IBM Plex Sans" w:hAnsi="IBM Plex Sans"/>
                <w:sz w:val="18"/>
                <w:szCs w:val="18"/>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76" w:lineRule="auto"/>
              <w:rPr>
                <w:rFonts w:ascii="IBM Plex Sans" w:cs="IBM Plex Sans" w:eastAsia="IBM Plex Sans" w:hAnsi="IBM Plex Sans"/>
                <w:b w:val="1"/>
                <w:sz w:val="18"/>
                <w:szCs w:val="18"/>
                <w:highlight w:val="white"/>
              </w:rPr>
            </w:pPr>
            <w:r w:rsidDel="00000000" w:rsidR="00000000" w:rsidRPr="00000000">
              <w:rPr>
                <w:rFonts w:ascii="IBM Plex Sans" w:cs="IBM Plex Sans" w:eastAsia="IBM Plex Sans" w:hAnsi="IBM Plex Sans"/>
                <w:b w:val="1"/>
                <w:sz w:val="18"/>
                <w:szCs w:val="18"/>
                <w:highlight w:val="white"/>
                <w:rtl w:val="0"/>
              </w:rPr>
              <w:t xml:space="preserve">13:30-14:30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76" w:lineRule="auto"/>
              <w:rPr>
                <w:rFonts w:ascii="IBM Plex Sans" w:cs="IBM Plex Sans" w:eastAsia="IBM Plex Sans" w:hAnsi="IBM Plex Sans"/>
                <w:b w:val="1"/>
                <w:sz w:val="18"/>
                <w:szCs w:val="18"/>
                <w:highlight w:val="white"/>
              </w:rPr>
            </w:pPr>
            <w:r w:rsidDel="00000000" w:rsidR="00000000" w:rsidRPr="00000000">
              <w:rPr>
                <w:rFonts w:ascii="IBM Plex Sans" w:cs="IBM Plex Sans" w:eastAsia="IBM Plex Sans" w:hAnsi="IBM Plex Sans"/>
                <w:b w:val="1"/>
                <w:sz w:val="18"/>
                <w:szCs w:val="18"/>
                <w:highlight w:val="white"/>
                <w:rtl w:val="0"/>
              </w:rPr>
              <w:t xml:space="preserve">Internal Knowledge Share</w:t>
            </w:r>
          </w:p>
          <w:p w:rsidR="00000000" w:rsidDel="00000000" w:rsidP="00000000" w:rsidRDefault="00000000" w:rsidRPr="00000000" w14:paraId="0000001C">
            <w:pPr>
              <w:spacing w:line="276" w:lineRule="auto"/>
              <w:rPr>
                <w:rFonts w:ascii="IBM Plex Sans" w:cs="IBM Plex Sans" w:eastAsia="IBM Plex Sans" w:hAnsi="IBM Plex Sans"/>
                <w:sz w:val="18"/>
                <w:szCs w:val="18"/>
                <w:highlight w:val="white"/>
              </w:rPr>
            </w:pPr>
            <w:r w:rsidDel="00000000" w:rsidR="00000000" w:rsidRPr="00000000">
              <w:rPr>
                <w:rFonts w:ascii="IBM Plex Sans" w:cs="IBM Plex Sans" w:eastAsia="IBM Plex Sans" w:hAnsi="IBM Plex Sans"/>
                <w:sz w:val="18"/>
                <w:szCs w:val="18"/>
                <w:highlight w:val="white"/>
                <w:rtl w:val="0"/>
              </w:rPr>
              <w:t xml:space="preserve">After lunch is a good time to organise a few small (5-6 people) informal catch-ups on various existing programmes within UNCDF that others might benefit from hearing about. This can be setup as 2-3 rounds of 20mins.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76" w:lineRule="auto"/>
              <w:rPr>
                <w:rFonts w:ascii="IBM Plex Sans" w:cs="IBM Plex Sans" w:eastAsia="IBM Plex Sans" w:hAnsi="IBM Plex Sans"/>
                <w:sz w:val="18"/>
                <w:szCs w:val="18"/>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76" w:lineRule="auto"/>
              <w:rPr>
                <w:rFonts w:ascii="IBM Plex Sans" w:cs="IBM Plex Sans" w:eastAsia="IBM Plex Sans" w:hAnsi="IBM Plex Sans"/>
                <w:b w:val="1"/>
                <w:sz w:val="18"/>
                <w:szCs w:val="18"/>
                <w:highlight w:val="white"/>
              </w:rPr>
            </w:pPr>
            <w:r w:rsidDel="00000000" w:rsidR="00000000" w:rsidRPr="00000000">
              <w:rPr>
                <w:rFonts w:ascii="IBM Plex Sans" w:cs="IBM Plex Sans" w:eastAsia="IBM Plex Sans" w:hAnsi="IBM Plex Sans"/>
                <w:b w:val="1"/>
                <w:sz w:val="18"/>
                <w:szCs w:val="18"/>
                <w:highlight w:val="white"/>
                <w:rtl w:val="0"/>
              </w:rPr>
              <w:t xml:space="preserve">14:30-16:00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276" w:lineRule="auto"/>
              <w:rPr>
                <w:rFonts w:ascii="IBM Plex Sans" w:cs="IBM Plex Sans" w:eastAsia="IBM Plex Sans" w:hAnsi="IBM Plex Sans"/>
                <w:b w:val="1"/>
                <w:sz w:val="18"/>
                <w:szCs w:val="18"/>
                <w:highlight w:val="white"/>
              </w:rPr>
            </w:pPr>
            <w:r w:rsidDel="00000000" w:rsidR="00000000" w:rsidRPr="00000000">
              <w:rPr>
                <w:rFonts w:ascii="IBM Plex Sans" w:cs="IBM Plex Sans" w:eastAsia="IBM Plex Sans" w:hAnsi="IBM Plex Sans"/>
                <w:b w:val="1"/>
                <w:sz w:val="18"/>
                <w:szCs w:val="18"/>
                <w:highlight w:val="white"/>
                <w:rtl w:val="0"/>
              </w:rPr>
              <w:t xml:space="preserve">Develop your Strategy</w:t>
            </w:r>
          </w:p>
          <w:p w:rsidR="00000000" w:rsidDel="00000000" w:rsidP="00000000" w:rsidRDefault="00000000" w:rsidRPr="00000000" w14:paraId="00000020">
            <w:pPr>
              <w:spacing w:line="276" w:lineRule="auto"/>
              <w:rPr>
                <w:rFonts w:ascii="IBM Plex Sans" w:cs="IBM Plex Sans" w:eastAsia="IBM Plex Sans" w:hAnsi="IBM Plex Sans"/>
                <w:sz w:val="18"/>
                <w:szCs w:val="18"/>
                <w:highlight w:val="white"/>
              </w:rPr>
            </w:pPr>
            <w:r w:rsidDel="00000000" w:rsidR="00000000" w:rsidRPr="00000000">
              <w:rPr>
                <w:rFonts w:ascii="IBM Plex Sans" w:cs="IBM Plex Sans" w:eastAsia="IBM Plex Sans" w:hAnsi="IBM Plex Sans"/>
                <w:sz w:val="18"/>
                <w:szCs w:val="18"/>
                <w:highlight w:val="white"/>
                <w:rtl w:val="0"/>
              </w:rPr>
              <w:t xml:space="preserve">Each team that will be working together beyond this one day workshop should get together and develop their strategy moving forward. This can be anchored by an Activity Plan, that being said it can be helpful to pair this activity with a Persona building session to make sure the team understands the needs of their audience (Micro entrepreneurs, startup founders, bankers). Similarly pairing a SMART Goals activity with this exercise can help make the goals more actionable.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76" w:lineRule="auto"/>
              <w:rPr>
                <w:rFonts w:ascii="IBM Plex Sans" w:cs="IBM Plex Sans" w:eastAsia="IBM Plex Sans" w:hAnsi="IBM Plex Sans"/>
                <w:sz w:val="18"/>
                <w:szCs w:val="18"/>
                <w:highlight w:val="white"/>
              </w:rPr>
            </w:pPr>
            <w:r w:rsidDel="00000000" w:rsidR="00000000" w:rsidRPr="00000000">
              <w:rPr>
                <w:rFonts w:ascii="IBM Plex Sans" w:cs="IBM Plex Sans" w:eastAsia="IBM Plex Sans" w:hAnsi="IBM Plex Sans"/>
                <w:sz w:val="18"/>
                <w:szCs w:val="18"/>
                <w:highlight w:val="white"/>
                <w:rtl w:val="0"/>
              </w:rPr>
              <w:t xml:space="preserve">Activity Plan</w:t>
            </w:r>
          </w:p>
          <w:p w:rsidR="00000000" w:rsidDel="00000000" w:rsidP="00000000" w:rsidRDefault="00000000" w:rsidRPr="00000000" w14:paraId="00000022">
            <w:pPr>
              <w:widowControl w:val="0"/>
              <w:spacing w:line="276" w:lineRule="auto"/>
              <w:rPr>
                <w:rFonts w:ascii="IBM Plex Sans" w:cs="IBM Plex Sans" w:eastAsia="IBM Plex Sans" w:hAnsi="IBM Plex Sans"/>
                <w:sz w:val="18"/>
                <w:szCs w:val="18"/>
                <w:highlight w:val="white"/>
              </w:rPr>
            </w:pPr>
            <w:r w:rsidDel="00000000" w:rsidR="00000000" w:rsidRPr="00000000">
              <w:rPr>
                <w:rFonts w:ascii="IBM Plex Sans" w:cs="IBM Plex Sans" w:eastAsia="IBM Plex Sans" w:hAnsi="IBM Plex Sans"/>
                <w:sz w:val="18"/>
                <w:szCs w:val="18"/>
                <w:highlight w:val="white"/>
                <w:rtl w:val="0"/>
              </w:rPr>
              <w:t xml:space="preserve">Persona</w:t>
            </w:r>
          </w:p>
          <w:p w:rsidR="00000000" w:rsidDel="00000000" w:rsidP="00000000" w:rsidRDefault="00000000" w:rsidRPr="00000000" w14:paraId="00000023">
            <w:pPr>
              <w:widowControl w:val="0"/>
              <w:spacing w:line="276" w:lineRule="auto"/>
              <w:rPr>
                <w:rFonts w:ascii="IBM Plex Sans" w:cs="IBM Plex Sans" w:eastAsia="IBM Plex Sans" w:hAnsi="IBM Plex Sans"/>
                <w:sz w:val="18"/>
                <w:szCs w:val="18"/>
                <w:highlight w:val="white"/>
              </w:rPr>
            </w:pPr>
            <w:r w:rsidDel="00000000" w:rsidR="00000000" w:rsidRPr="00000000">
              <w:rPr>
                <w:rFonts w:ascii="IBM Plex Sans" w:cs="IBM Plex Sans" w:eastAsia="IBM Plex Sans" w:hAnsi="IBM Plex Sans"/>
                <w:sz w:val="18"/>
                <w:szCs w:val="18"/>
                <w:highlight w:val="white"/>
                <w:rtl w:val="0"/>
              </w:rPr>
              <w:t xml:space="preserve">SMART Goals</w:t>
            </w:r>
          </w:p>
          <w:p w:rsidR="00000000" w:rsidDel="00000000" w:rsidP="00000000" w:rsidRDefault="00000000" w:rsidRPr="00000000" w14:paraId="00000024">
            <w:pPr>
              <w:widowControl w:val="0"/>
              <w:spacing w:line="276" w:lineRule="auto"/>
              <w:rPr>
                <w:rFonts w:ascii="IBM Plex Sans" w:cs="IBM Plex Sans" w:eastAsia="IBM Plex Sans" w:hAnsi="IBM Plex Sans"/>
                <w:sz w:val="18"/>
                <w:szCs w:val="18"/>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76" w:lineRule="auto"/>
              <w:rPr>
                <w:rFonts w:ascii="IBM Plex Sans" w:cs="IBM Plex Sans" w:eastAsia="IBM Plex Sans" w:hAnsi="IBM Plex Sans"/>
                <w:sz w:val="18"/>
                <w:szCs w:val="18"/>
                <w:highlight w:val="white"/>
              </w:rPr>
            </w:pPr>
            <w:r w:rsidDel="00000000" w:rsidR="00000000" w:rsidRPr="00000000">
              <w:rPr>
                <w:rFonts w:ascii="IBM Plex Sans" w:cs="IBM Plex Sans" w:eastAsia="IBM Plex Sans" w:hAnsi="IBM Plex Sans"/>
                <w:sz w:val="18"/>
                <w:szCs w:val="18"/>
                <w:highlight w:val="white"/>
                <w:rtl w:val="0"/>
              </w:rPr>
              <w:t xml:space="preserve">16:00-17:30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76" w:lineRule="auto"/>
              <w:rPr>
                <w:rFonts w:ascii="IBM Plex Sans" w:cs="IBM Plex Sans" w:eastAsia="IBM Plex Sans" w:hAnsi="IBM Plex Sans"/>
                <w:b w:val="1"/>
                <w:sz w:val="18"/>
                <w:szCs w:val="18"/>
                <w:highlight w:val="white"/>
              </w:rPr>
            </w:pPr>
            <w:r w:rsidDel="00000000" w:rsidR="00000000" w:rsidRPr="00000000">
              <w:rPr>
                <w:rFonts w:ascii="IBM Plex Sans" w:cs="IBM Plex Sans" w:eastAsia="IBM Plex Sans" w:hAnsi="IBM Plex Sans"/>
                <w:b w:val="1"/>
                <w:sz w:val="18"/>
                <w:szCs w:val="18"/>
                <w:highlight w:val="white"/>
                <w:rtl w:val="0"/>
              </w:rPr>
              <w:t xml:space="preserve">Discuss and Close</w:t>
            </w:r>
          </w:p>
          <w:p w:rsidR="00000000" w:rsidDel="00000000" w:rsidP="00000000" w:rsidRDefault="00000000" w:rsidRPr="00000000" w14:paraId="00000027">
            <w:pPr>
              <w:spacing w:line="276" w:lineRule="auto"/>
              <w:rPr>
                <w:rFonts w:ascii="IBM Plex Sans" w:cs="IBM Plex Sans" w:eastAsia="IBM Plex Sans" w:hAnsi="IBM Plex Sans"/>
                <w:sz w:val="18"/>
                <w:szCs w:val="18"/>
                <w:highlight w:val="white"/>
              </w:rPr>
            </w:pPr>
            <w:r w:rsidDel="00000000" w:rsidR="00000000" w:rsidRPr="00000000">
              <w:rPr>
                <w:rFonts w:ascii="IBM Plex Sans" w:cs="IBM Plex Sans" w:eastAsia="IBM Plex Sans" w:hAnsi="IBM Plex Sans"/>
                <w:sz w:val="18"/>
                <w:szCs w:val="18"/>
                <w:highlight w:val="white"/>
                <w:rtl w:val="0"/>
              </w:rPr>
              <w:t xml:space="preserve">The final hour can be left open for further discussion on the respective plans, identifying potential challenges and inter-team dependencies.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76" w:lineRule="auto"/>
              <w:rPr>
                <w:rFonts w:ascii="IBM Plex Sans" w:cs="IBM Plex Sans" w:eastAsia="IBM Plex Sans" w:hAnsi="IBM Plex Sans"/>
                <w:sz w:val="18"/>
                <w:szCs w:val="18"/>
                <w:highlight w:val="white"/>
              </w:rPr>
            </w:pPr>
            <w:r w:rsidDel="00000000" w:rsidR="00000000" w:rsidRPr="00000000">
              <w:rPr>
                <w:rtl w:val="0"/>
              </w:rPr>
            </w:r>
          </w:p>
        </w:tc>
      </w:tr>
    </w:tbl>
    <w:p w:rsidR="00000000" w:rsidDel="00000000" w:rsidP="00000000" w:rsidRDefault="00000000" w:rsidRPr="00000000" w14:paraId="00000029">
      <w:pPr>
        <w:spacing w:line="276" w:lineRule="auto"/>
        <w:rPr>
          <w:sz w:val="18"/>
          <w:szCs w:val="18"/>
        </w:rPr>
      </w:pPr>
      <w:r w:rsidDel="00000000" w:rsidR="00000000" w:rsidRPr="00000000">
        <w:rPr>
          <w:rtl w:val="0"/>
        </w:rPr>
      </w:r>
    </w:p>
    <w:p w:rsidR="00000000" w:rsidDel="00000000" w:rsidP="00000000" w:rsidRDefault="00000000" w:rsidRPr="00000000" w14:paraId="0000002A">
      <w:pPr>
        <w:spacing w:line="276" w:lineRule="auto"/>
        <w:rPr>
          <w:sz w:val="18"/>
          <w:szCs w:val="18"/>
        </w:rPr>
      </w:pPr>
      <w:r w:rsidDel="00000000" w:rsidR="00000000" w:rsidRPr="00000000">
        <w:rPr>
          <w:rtl w:val="0"/>
        </w:rPr>
      </w:r>
    </w:p>
    <w:p w:rsidR="00000000" w:rsidDel="00000000" w:rsidP="00000000" w:rsidRDefault="00000000" w:rsidRPr="00000000" w14:paraId="0000002B">
      <w:pPr>
        <w:spacing w:line="276" w:lineRule="auto"/>
        <w:rPr>
          <w:sz w:val="18"/>
          <w:szCs w:val="18"/>
        </w:rPr>
      </w:pPr>
      <w:r w:rsidDel="00000000" w:rsidR="00000000" w:rsidRPr="00000000">
        <w:rPr>
          <w:rtl w:val="0"/>
        </w:rPr>
      </w:r>
    </w:p>
    <w:p w:rsidR="00000000" w:rsidDel="00000000" w:rsidP="00000000" w:rsidRDefault="00000000" w:rsidRPr="00000000" w14:paraId="0000002C">
      <w:pPr>
        <w:spacing w:after="240" w:line="276" w:lineRule="auto"/>
        <w:ind w:left="720" w:firstLine="0"/>
        <w:rPr>
          <w:sz w:val="18"/>
          <w:szCs w:val="18"/>
        </w:rPr>
      </w:pPr>
      <w:r w:rsidDel="00000000" w:rsidR="00000000" w:rsidRPr="00000000">
        <w:rPr>
          <w:sz w:val="18"/>
          <w:szCs w:val="18"/>
          <w:rtl w:val="0"/>
        </w:rPr>
        <w:tab/>
        <w:tab/>
        <w:tab/>
        <w:tab/>
        <w:tab/>
        <w:tab/>
        <w:tab/>
      </w:r>
    </w:p>
    <w:p w:rsidR="00000000" w:rsidDel="00000000" w:rsidP="00000000" w:rsidRDefault="00000000" w:rsidRPr="00000000" w14:paraId="0000002D">
      <w:pPr>
        <w:rPr/>
      </w:pPr>
      <w:r w:rsidDel="00000000" w:rsidR="00000000" w:rsidRPr="00000000">
        <w:rPr>
          <w:rtl w:val="0"/>
        </w:rPr>
      </w:r>
    </w:p>
    <w:sectPr>
      <w:footerReference r:id="rId6" w:type="default"/>
      <w:pgSz w:h="12240" w:w="15840"/>
      <w:pgMar w:bottom="1080" w:top="1080" w:left="1080" w:right="1080" w:header="720"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pPr>
    <w:r w:rsidDel="00000000" w:rsidR="00000000" w:rsidRPr="00000000">
      <w:rPr/>
      <w:drawing>
        <wp:inline distB="114300" distT="114300" distL="114300" distR="114300">
          <wp:extent cx="1366838" cy="475422"/>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66838" cy="475422"/>
                  </a:xfrm>
                  <a:prstGeom prst="rect"/>
                  <a:ln/>
                </pic:spPr>
              </pic:pic>
            </a:graphicData>
          </a:graphic>
        </wp:inline>
      </w:drawing>
    </w:r>
    <w:r w:rsidDel="00000000" w:rsidR="00000000" w:rsidRPr="00000000">
      <w:rPr/>
      <w:drawing>
        <wp:inline distB="114300" distT="114300" distL="114300" distR="114300">
          <wp:extent cx="395288" cy="430581"/>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95288" cy="430581"/>
                  </a:xfrm>
                  <a:prstGeom prst="rect"/>
                  <a:ln/>
                </pic:spPr>
              </pic:pic>
            </a:graphicData>
          </a:graphic>
        </wp:inline>
      </w:drawing>
    </w:r>
    <w:r w:rsidDel="00000000" w:rsidR="00000000" w:rsidRPr="00000000">
      <w:rPr>
        <w:rtl w:val="0"/>
      </w:rPr>
      <w:tab/>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